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KPAnG — Evaluierung</w:t>
      </w:r>
    </w:p>
    <w:p>
      <w:r>
        <w:rPr>
          <w:color w:val="555555"/>
          <w:sz w:val="18"/>
        </w:rPr>
        <w:t xml:space="preserve">Kraftstoffpreisanpassungsgesetz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Das Bundesministerium für Wirtschaft und Energie berichtet den gesetzgebenden Körperschaften nach Ablauf von einem Jahr nach Inkrafttreten dieses Gesetzes über die Erfahrungen mit diesem Gesetz.</w:t>
      </w:r>
    </w:p>
    <w:p>
      <w:r>
        <w:rPr>
          <w:color w:val="555555"/>
          <w:sz w:val="17"/>
        </w:rPr>
        <w:t xml:space="preserve">Zitiervorschlag: § 4 KPAnG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https://recht.nulegal.eu/gesetze/KPAnG/4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