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KPAnG — Begriffsbestimmungen</w:t>
      </w:r>
    </w:p>
    <w:p>
      <w:r>
        <w:rPr>
          <w:color w:val="555555"/>
          <w:sz w:val="18"/>
        </w:rPr>
        <w:t xml:space="preserve">Kraftstoffpreisanpassungsgesetz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„Kraftstoffe“ sämtliche Otto- und Dieselkraftstoffe,</w:t>
      </w:r>
    </w:p>
    <w:p>
      <w:pPr>
        <w:ind w:left="420"/>
      </w:pPr>
      <w:r>
        <w:t xml:space="preserve">2. „öffentliche Tankstellen“ Tankstellen nach § 47k Absatz 3 Satz 2 des Gesetzes gegen Wettbewerbsbeschränkungen.</w:t>
      </w:r>
    </w:p>
    <w:p>
      <w:r>
        <w:rPr>
          <w:color w:val="555555"/>
          <w:sz w:val="17"/>
        </w:rPr>
        <w:t xml:space="preserve">Zitiervorschlag: § 1 KPAnG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https://recht.nulegal.eu/gesetze/KPAnG/1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