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KOVZustV</w:t>
      </w:r>
    </w:p>
    <w:p>
      <w:r>
        <w:rPr>
          <w:color w:val="555555"/>
          <w:sz w:val="18"/>
        </w:rPr>
        <w:t xml:space="preserve">Verordnung über die sachliche Zuständigkeit in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Diese Verordnung gilt nach § 14 des Dritten Überleitungsgesetzes vom 4. Januar 1952 (Bundesgesetzblatt I S. 1) in Verbindung mit § 50 Abs. 1 des Gesetzes über das Verwaltungsverfahren der Kriegsopferversorgung auch im Land Berlin.</w:t>
      </w:r>
    </w:p>
    <w:p>
      <w:r>
        <w:rPr>
          <w:color w:val="555555"/>
          <w:sz w:val="17"/>
        </w:rPr>
        <w:t xml:space="preserve">Zitiervorschlag: § 3 KOVZustV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