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KOVZustV</w:t>
      </w:r>
    </w:p>
    <w:p>
      <w:r>
        <w:rPr>
          <w:color w:val="555555"/>
          <w:sz w:val="18"/>
        </w:rPr>
        <w:t xml:space="preserve">Verordnung über die sachliche Zuständigkeit in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orthopädischen Versorgungsstellen sind zuständig für die Entscheidungen über</w:t>
      </w:r>
    </w:p>
    <w:p>
      <w:pPr>
        <w:ind w:left="420"/>
      </w:pPr>
      <w:r>
        <w:t xml:space="preserve">a) Leistungen nach § 11 Abs. 1 Satz 1 Nr. 8 in Verbindung mit § 13, nach § 11 Abs. 3, nach § 12 Abs. 1 in Verbindung mit § 11 Abs. 1 Satz 1 Nr. 8 und § 13 sowie nach § 12 Abs. 5 des Bundesversorgungsgesetzes,sowie die Kostenerstattung nach § 18 Abs. 1 und 2 des Bundesversorgungsgesetzes, wenn sie mit der orthopädischen Versorgung im Zusammenhang steht,</w:t>
      </w:r>
    </w:p>
    <w:p>
      <w:pPr>
        <w:ind w:left="420"/>
      </w:pPr>
      <w:r>
        <w:t xml:space="preserve">b) den mit der orthopädischen Versorgung oder mit den Ersatzleistungen nach § 11 Abs. 3 und § 12 Abs. 5 des Bundesversorgungsgesetzes im Zusammenhang stehenden Kostenersatz nach § 24 des Bundesversorgungsgesetzes und § 65a des Ersten Buches Sozialgesetzbuch.</w:t>
      </w:r>
    </w:p>
    <w:p>
      <w:r>
        <w:rPr>
          <w:color w:val="555555"/>
          <w:sz w:val="17"/>
        </w:rPr>
        <w:t xml:space="preserve">Zitiervorschlag: § 2 KOVZustV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