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KOVVwG</w:t>
      </w:r>
    </w:p>
    <w:p>
      <w:r>
        <w:rPr>
          <w:color w:val="555555"/>
          <w:sz w:val="18"/>
        </w:rPr>
        <w:t xml:space="preserve">Gesetz über die Errichtung der Verwaltungsbehörden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Dieses Gesetz tritt am Tag nach seiner Verkündung in Kraft.</w:t>
      </w:r>
    </w:p>
    <w:p>
      <w:r>
        <w:rPr>
          <w:color w:val="555555"/>
          <w:sz w:val="17"/>
        </w:rPr>
        <w:t xml:space="preserve">Zitiervorschlag: § 8 KOVVwG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https://recht.nulegal.eu/gesetze/KOVVwG/8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