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KOVVwG</w:t>
      </w:r>
    </w:p>
    <w:p>
      <w:r>
        <w:rPr>
          <w:color w:val="555555"/>
          <w:sz w:val="18"/>
        </w:rPr>
        <w:t xml:space="preserve">Gesetz über die Errichtung der Verwaltungsbehörden der Kriegsopferversorgung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Dem Land Berlin bleibt es vorbehalten, um seine Rechte nach § 91 des Bundesversorgungsgesetzes zu wahren, die unveränderte Anwendung dieses Gesetzes in Berlin durch Gesetz zu beschließen.</w:t>
      </w:r>
    </w:p>
    <w:p>
      <w:r>
        <w:rPr>
          <w:color w:val="555555"/>
          <w:sz w:val="17"/>
        </w:rPr>
        <w:t xml:space="preserve">Zitiervorschlag: § 7 KOVVwG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https://recht.nulegal.eu/gesetze/KOVVwG/7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