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KOVVfG</w:t>
      </w:r>
    </w:p>
    <w:p>
      <w:r>
        <w:rPr>
          <w:color w:val="555555"/>
          <w:sz w:val="18"/>
        </w:rPr>
        <w:t xml:space="preserve">Gesetz über das Verwaltungsverfahren der Kriegsopferversorgung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Die Anträge in Versorgungsangelegenheiten sind bei dem Versorgungsamt zu stellen, auch wenn für die Entscheidung das Landesversorgungsamt zuständig ist.</w:t>
      </w:r>
    </w:p>
    <w:p>
      <w:r>
        <w:rPr>
          <w:color w:val="555555"/>
          <w:sz w:val="17"/>
        </w:rPr>
        <w:t xml:space="preserve">Zitiervorschlag: § 6 KOVVfG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https://recht.nulegal.eu/gesetze/KOVVfG/6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