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Dieses Gesetz tritt am 1. April 1955 in Kraft.</w:t>
      </w:r>
    </w:p>
    <w:p>
      <w:r>
        <w:t xml:space="preserve">(2)</w:t>
      </w:r>
    </w:p>
    <w:p>
      <w:r>
        <w:t xml:space="preserve">(3)</w:t>
      </w:r>
    </w:p>
    <w:p>
      <w:r>
        <w:t xml:space="preserve">(4) Soweit in anderen gesetzlichen und sonstigen Bestimmungen auf die aufgehobenen Vorschriften verwiesen ist, treten die entsprechenden Vorschriften dieses Gesetzes an ihre Stelle.</w:t>
      </w:r>
    </w:p>
    <w:p>
      <w:r>
        <w:rPr>
          <w:color w:val="555555"/>
          <w:sz w:val="17"/>
        </w:rPr>
        <w:t xml:space="preserve">Zitiervorschlag: § 51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