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Dieses Gesetz gilt nach Maßgabe des § 13 Abs. 1 des Dritten Überleitungsgesetzes vom 4. Januar 1952 (Bundesgesetzbl. I S. 1) auch im Land Berlin. Rechtsverordnungen, die auf Grund der in diesem Gesetz enthaltenen Ermächtigung erlassen werden, gelten im Land Berlin nach § 14 des Dritten Überleitungsgesetzes.</w:t>
      </w:r>
    </w:p>
    <w:p>
      <w:r>
        <w:t xml:space="preserve">(2) § 42 gilt auch für Entscheidungen des Einspruchsausschusses beim Landesversorgungsamt Berlin.</w:t>
      </w:r>
    </w:p>
    <w:p>
      <w:r>
        <w:rPr>
          <w:color w:val="555555"/>
          <w:sz w:val="17"/>
        </w:rPr>
        <w:t xml:space="preserve">Zitiervorschlag: § 50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