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KOVVfG</w:t>
      </w:r>
    </w:p>
    <w:p>
      <w:r>
        <w:rPr>
          <w:color w:val="555555"/>
          <w:sz w:val="18"/>
        </w:rPr>
        <w:t xml:space="preserve">Gesetz über das Verwaltungsverfahren der Kriegsopferversorgung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</w:t>
      </w:r>
    </w:p>
    <w:p>
      <w:r>
        <w:t xml:space="preserve">(2) Freien gemeinnützigen und privaten Krankenanstalten sowie privaten Ärzten werden die ihnen nach § 12 Abs. 2 entstandenen notwendigen baren Auslagen erstattet.</w:t>
      </w:r>
    </w:p>
    <w:p>
      <w:r>
        <w:rPr>
          <w:color w:val="555555"/>
          <w:sz w:val="17"/>
        </w:rPr>
        <w:t xml:space="preserve">Zitiervorschlag: § 31 KOVVfG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https://recht.nulegal.eu/gesetze/KOVVfG/31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