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(1) Abschließende Mitteilungen der Verwaltungsbehörden in der Versorgungssache ergehen durch schriftlichen Bescheid.</w:t>
      </w:r>
    </w:p>
    <w:p>
      <w:r>
        <w:t xml:space="preserve">(2)</w:t>
      </w:r>
    </w:p>
    <w:p>
      <w:r>
        <w:t xml:space="preserve">(3)</w:t>
      </w:r>
    </w:p>
    <w:p>
      <w:r>
        <w:t xml:space="preserve">(4) Kann nach dem Ergebnis der Ermittlungen über den Anspruch oder einen Teil des Anspruchs noch nicht endgültig entschieden werden, sind die Voraussetzungen für die Gewährung bestimmter Leistungen jedoch mit Wahrscheinlichkeit gegeben, so kann ein Bescheid unter dem ausdrücklichen Vorbehalt der endgültigen Entscheidung erlassen werden, wenn dies beantragt ist und der Antragsteller ein berechtigtes Interesse an der alsbaldigen Erteilung eines solchen vorläufigen Bescheides hat. Aus dem Bescheid müssen sich Inhalt und Ausmaß des Vorbehalts ergeben. Nach Abschluß der Ermittlungen hat die Behörde unverzüglich den endgültigen Bescheid zu erlassen. Hierbei ist sie an den vorläufigen Bescheid nicht gebunden.</w:t>
      </w:r>
    </w:p>
    <w:p>
      <w:r>
        <w:t xml:space="preserve">(5) Ist in einem Bescheid nach § 60a Abs. 1 Satz 2 des Bundesversorgungsgesetzes die endgültige Feststellung der einkommensabhängigen Leistungen vorbehalten worden, so ist für die endgültige Feststellung die vorher getroffene Feststellung der Berechnungsgrundlagen nicht bindend.</w:t>
      </w:r>
    </w:p>
    <w:p>
      <w:r>
        <w:rPr>
          <w:color w:val="555555"/>
          <w:sz w:val="17"/>
        </w:rPr>
        <w:t xml:space="preserve">Zitiervorschlag: § 22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