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KOVVfG</w:t>
      </w:r>
    </w:p>
    <w:p>
      <w:r>
        <w:rPr>
          <w:color w:val="555555"/>
          <w:sz w:val="18"/>
        </w:rPr>
        <w:t xml:space="preserve">Gesetz über das Verwaltungsverfahren der Kriegsopferversorgung</w:t>
      </w:r>
    </w:p>
    <w:p>
      <w:r>
        <w:rPr>
          <w:color w:val="555555"/>
          <w:sz w:val="18"/>
        </w:rPr>
        <w:t xml:space="preserve">Historische Fassung: Stand 10.06.2019 bis 01.01.2024. Dies ist nicht die aktuelle Fassung.</w:t>
      </w:r>
    </w:p>
    <w:p>
      <w:r>
        <w:t xml:space="preserve">Die Versorgungsämter sind für alle Versorgungsangelegenheiten zuständig, soweit durch Gesetz nichts anderes bestimmt ist. Das Bundesministerium für Arbeit und Soziales kann mit Zustimmung des Bundesrates durch Rechtsverordnung für bestimmte Versorgungsangelegenheiten die Zuständigkeit der Landesversorgungsämter oder der obersten Landesbehörden oder der in § 2 des Gesetzes über die Errichtung der Verwaltungsbehörden der Kriegsopferversorgung vom 12. März 1951 (Bundesgesetzbl. I S. 169), zuletzt geändert durch das Vierte Gesetz zur Anpassung der Leistungen des Bundesversorgungsgesetzes vom 24. Juli 1972 (Bundesgesetzbl. I S. 1284), genannten Stellen begründen. Die für die Kriegsopferversorgung zuständigen obersten Landesbehörden können sich selbst oder den Landesversorgungsämtern die Zustimmung zu Entscheidungen über bestimmte Versorgungsangelegenheiten vorbehalten.</w:t>
      </w:r>
    </w:p>
    <w:p>
      <w:r>
        <w:rPr>
          <w:color w:val="555555"/>
          <w:sz w:val="17"/>
        </w:rPr>
        <w:t xml:space="preserve">Zitiervorschlag: § 2 KOVVfG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https://recht.nulegal.eu/gesetze/KOVVfG/2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