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KOVVfG</w:t>
      </w:r>
    </w:p>
    <w:p>
      <w:r>
        <w:rPr>
          <w:color w:val="555555"/>
          <w:sz w:val="18"/>
        </w:rPr>
        <w:t xml:space="preserve">Gesetz über das Verwaltungsverfahren der Kriegsopferversorgung</w:t>
      </w:r>
    </w:p>
    <w:p>
      <w:r>
        <w:rPr>
          <w:color w:val="555555"/>
          <w:sz w:val="18"/>
        </w:rPr>
        <w:t xml:space="preserve">Historische Fassung: Stand 10.06.2019 bis 01.01.2024. Dies ist nicht die aktuelle Fassung.</w:t>
      </w:r>
    </w:p>
    <w:p>
      <w:r>
        <w:t xml:space="preserve">Die Angaben des Antragstellers, die sich auf die mit der Schädigung im Zusammenhang stehenden Tatsachen beziehen, sind, wenn Unterlagen nicht vorhanden oder nicht zu beschaffen oder ohne Verschulden des Antragstellers oder seiner Hinterbliebenen verlorengegangen sind, der Entscheidung zugrunde zu legen, soweit sie nach den Umständen des Falles glaubhaft erscheinen. Die Verwaltungsbehörde kann in besonderen Fällen von dem Antragsteller die eidesstattliche Versicherung verlangen, daß er bei seinen Angaben nach bestem Wissen die reine Wahrheit gesagt und nichts verschwiegen habe.</w:t>
      </w:r>
    </w:p>
    <w:p>
      <w:r>
        <w:rPr>
          <w:color w:val="555555"/>
          <w:sz w:val="17"/>
        </w:rPr>
        <w:t xml:space="preserve">Zitiervorschlag: § 15 KOVVfG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https://recht.nulegal.eu/gesetze/KOVVfG/15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