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KOVRentKapG</w:t>
      </w:r>
    </w:p>
    <w:p>
      <w:r>
        <w:rPr>
          <w:color w:val="555555"/>
          <w:sz w:val="18"/>
        </w:rPr>
        <w:t xml:space="preserve">Rentenkapitalisierungsgesetz-KOV</w:t>
      </w:r>
    </w:p>
    <w:p>
      <w:r>
        <w:rPr>
          <w:color w:val="555555"/>
          <w:sz w:val="18"/>
        </w:rPr>
        <w:t xml:space="preserve">Historische Fassung: Stand 10.06.2019 bis 01.01.2024. Dies ist nicht die aktuelle Fassung.</w:t>
      </w:r>
    </w:p>
    <w:p>
      <w:r>
        <w:t xml:space="preserve">Dieses Gesetz gilt nach Maßgabe des § 13 Abs. 1 des Dritten Überleitungsgesetzes vom 4. Januar 1952 (Bundesgesetzbl. I S. 1) auch im Land Berlin.</w:t>
      </w:r>
    </w:p>
    <w:p>
      <w:r>
        <w:rPr>
          <w:color w:val="555555"/>
          <w:sz w:val="17"/>
        </w:rPr>
        <w:t xml:space="preserve">Zitiervorschlag: § 5 KOVRentKapG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https://recht.nulegal.eu/gesetze/KOVRentKapG/5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