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KOVRentKapG</w:t>
      </w:r>
    </w:p>
    <w:p>
      <w:r>
        <w:rPr>
          <w:color w:val="555555"/>
          <w:sz w:val="18"/>
        </w:rPr>
        <w:t xml:space="preserve">Rentenkapitalisierungsgesetz-KOV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Gesetzliche Vorschriften, die dem Kapitalabfindungsberechtigten steuerliche und gebührenrechtliche Vergünstigungen gewähren, gelten für die Rentenkapitalisierung entsprechend.</w:t>
      </w:r>
    </w:p>
    <w:p>
      <w:r>
        <w:rPr>
          <w:color w:val="555555"/>
          <w:sz w:val="17"/>
        </w:rPr>
        <w:t xml:space="preserve">Zitiervorschlag: § 3 KOVRentKapG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https://recht.nulegal.eu/gesetze/KOVRentKapG/3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