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KOVRentKapG</w:t>
      </w:r>
    </w:p>
    <w:p>
      <w:r>
        <w:rPr>
          <w:color w:val="555555"/>
          <w:sz w:val="18"/>
        </w:rPr>
        <w:t xml:space="preserve">Rentenkapitalisierungsgesetz-KOV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(1) Für die Rentenkapitalisierung gelten die für Kapitalabfindungen nach dem Bundesversorgungsgesetz maßgebenden Vorschriften und Bestimmungen mit Ausnahme des § 74 Abs. 2 Satz 3, § 74 Abs. 3 Satz 3 und des § 76 Abs. 3 des Bundesversorgungsgesetzes entsprechend.</w:t>
      </w:r>
    </w:p>
    <w:p>
      <w:r>
        <w:t xml:space="preserve">(2) Die Voraussetzungen der Rentenkapitalisierung stellt die Verwaltungsbehörde fest. Zuständigkeit, Verwaltungsverfahren und Rechtsweg richten sich nach den bei der Gewährung von Kapitalabfindungen anzuwendenden Vorschriften und Bestimmungen.</w:t>
      </w:r>
    </w:p>
    <w:p>
      <w:r>
        <w:t xml:space="preserve">(3)</w:t>
      </w:r>
    </w:p>
    <w:p>
      <w:r>
        <w:rPr>
          <w:color w:val="555555"/>
          <w:sz w:val="17"/>
        </w:rPr>
        <w:t xml:space="preserve">Zitiervorschlag: § 2 KOVRentKapG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https://recht.nulegal.eu/gesetze/KOVRentKapG/2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