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KOVRentKapG</w:t>
      </w:r>
    </w:p>
    <w:p>
      <w:r>
        <w:rPr>
          <w:color w:val="555555"/>
          <w:sz w:val="18"/>
        </w:rPr>
        <w:t xml:space="preserve">Rentenkapitalisierungsgesetz-KOV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An Stelle einer Kapitalabfindung nach den §§ 72 bis 80 des Bundesversorgungsgesetzes kann dem Berechtigten nach Maßgabe des Bundeshaushaltsplans ein Betrag in Höhe der Kapitalabfindung durch ein Kreditinstitut gewährt werden (Rentenkapitalisierung); das gilt auch, wenn die Kapitalabfindung bereits bewilligt, aber noch nicht ausgezahlt worden ist.</w:t>
      </w:r>
    </w:p>
    <w:p>
      <w:r>
        <w:t xml:space="preserve">(2) Der Kapitalisierungsbetrag wird auf Grund eines öffentlich-rechtlichen Vertrags zwischen dem Kreditinstitut und dem Berechtigten gegen Übertragung des Anspruchs auf Zahlung der für den nach § 74 des Bundesversorgungsgesetzes maßgebenden Zeitraum zustehenden Grundrente gezahlt.</w:t>
      </w:r>
    </w:p>
    <w:p>
      <w:r>
        <w:t xml:space="preserve">(3) Das Kreditinstitut wird vom Bundesministerium für Arbeit und Soziales im Einvernehmen mit dem Bundesministerium der Finanzen beauftragt.</w:t>
      </w:r>
    </w:p>
    <w:p>
      <w:r>
        <w:rPr>
          <w:color w:val="555555"/>
          <w:sz w:val="17"/>
        </w:rPr>
        <w:t xml:space="preserve">Zitiervorschlag: § 1 KOVRentKapG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https://recht.nulegal.eu/gesetze/KOVRentKapG/1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