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KOVErstV</w:t>
      </w:r>
    </w:p>
    <w:p>
      <w:r>
        <w:rPr>
          <w:color w:val="555555"/>
          <w:sz w:val="18"/>
        </w:rPr>
        <w:t xml:space="preserve">Erstattungsverordnung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Aufwendungen im Sinne des § 1 sind die auf die Heil- und Krankenbehandlung von Versorgungsberechtigten entfallenden Anteile an den Gesamtaufwendungen, die den Ländern bei sparsamer und wirtschaftlicher Betriebsführung der Versorgungskrankenanstalten seit dem 1. April 1955 erwachsen sind und künftig erwachsen.</w:t>
      </w:r>
    </w:p>
    <w:p>
      <w:r>
        <w:t xml:space="preserve">(2) Gesamtaufwendungen sind alle im Abrechnungszeitraum (Rechnungsjahr) für den Betrieb und die Unterhaltung einer Versorgungskrankenanstalt rechnungsmäßig nachweisbaren Personal- und Sachausgaben, vermindert um</w:t>
      </w:r>
    </w:p>
    <w:p>
      <w:pPr>
        <w:ind w:left="420"/>
      </w:pPr>
      <w:r>
        <w:t xml:space="preserve">a) die in ihnen enthaltenen nicht erstattungsfähigen Aufwendungen (§ 5),</w:t>
      </w:r>
    </w:p>
    <w:p>
      <w:pPr>
        <w:ind w:left="420"/>
      </w:pPr>
      <w:r>
        <w:t xml:space="preserve">b) alle Einnahmen, die nicht für die Gewährung stationärer Heil- und Krankenbehandlung erzielt werden.</w:t>
      </w:r>
    </w:p>
    <w:p>
      <w:r>
        <w:t xml:space="preserve">(3) Zu den Gesamtaufwendungen zählt auch ein Zuschlag von 30 vom Hundert zu den Dienstbezügen der Beamten der Versorgungskrankenanstalten zur Abgeltung der Versorgungsbelastung.</w:t>
      </w:r>
    </w:p>
    <w:p>
      <w:r>
        <w:rPr>
          <w:color w:val="555555"/>
          <w:sz w:val="17"/>
        </w:rPr>
        <w:t xml:space="preserve">Zitiervorschlag: § 3 KOVErstV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https://recht.nulegal.eu/gesetze/KOVErstV/3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