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KOVAnpG 9 — Inkrafttreten</w:t>
      </w:r>
    </w:p>
    <w:p>
      <w:r>
        <w:rPr>
          <w:color w:val="555555"/>
          <w:sz w:val="18"/>
        </w:rPr>
        <w:t xml:space="preserve">Neuntes Anpassungsgesetz-KOV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tritt, soweit Absatz 2 nichts anderes bestimmt, am 1. Juli 1977 in Kraft.</w:t>
      </w:r>
    </w:p>
    <w:p>
      <w:r>
        <w:t xml:space="preserve">(2)</w:t>
      </w:r>
    </w:p>
    <w:p>
      <w:r>
        <w:rPr>
          <w:color w:val="555555"/>
          <w:sz w:val="17"/>
        </w:rPr>
        <w:t xml:space="preserve">Zitiervorschlag: Art 4 KOVAnpG 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https://recht.nulegal.eu/gesetze/KOVAnpG%209/4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