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KOVAnpG 9 — Besitzstandsklausel</w:t>
      </w:r>
    </w:p>
    <w:p>
      <w:r>
        <w:rPr>
          <w:color w:val="555555"/>
          <w:sz w:val="18"/>
        </w:rPr>
        <w:t xml:space="preserve">Neuntes Anpassungsgesetz-KOV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Artikel 1 Nr. 13 gilt nur für die früheren Ehefrauen, deren Ehe nach dem 30. Juni 1977 aufgelöst wurde.</w:t>
      </w:r>
    </w:p>
    <w:p>
      <w:r>
        <w:rPr>
          <w:color w:val="555555"/>
          <w:sz w:val="17"/>
        </w:rPr>
        <w:t xml:space="preserve">Zitiervorschlag: Art 2 KOVAnpG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https://recht.nulegal.eu/gesetze/KOVAnpG%209/2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