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KOVAnpG 9</w:t>
      </w:r>
    </w:p>
    <w:p>
      <w:r>
        <w:rPr>
          <w:color w:val="555555"/>
          <w:sz w:val="18"/>
        </w:rPr>
        <w:t xml:space="preserve">Neuntes Anpassungsgesetz-KOV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Nr. 1 bis 12</w:t>
      </w:r>
    </w:p>
    <w:p>
      <w:pPr>
        <w:ind w:left="420"/>
      </w:pPr>
      <w:r>
        <w:t xml:space="preserve">13. In § 42 Abs. 1 wird nach Satz 1 folgender Satz eingefügt:Eine Versorgung ist nur so lange zu leisten, als die frühere Ehefrau nach den eherechtlichen Vorschriften unterhaltsberechtigt gewesen wäre oder sonst Unterhaltsleistungen erhalten hätte.</w:t>
      </w:r>
    </w:p>
    <w:p>
      <w:r>
        <w:t xml:space="preserve">Nr. 14 bis 19</w:t>
      </w:r>
    </w:p>
    <w:p>
      <w:r>
        <w:rPr>
          <w:color w:val="555555"/>
          <w:sz w:val="17"/>
        </w:rPr>
        <w:t xml:space="preserve">Zitiervorschlag: Art 1 KOVAnpG 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https://recht.nulegal.eu/gesetze/KOVAnpG%209/1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