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KONSENS-G — Entwicklung von IT-Verfahren und Software</w:t>
      </w:r>
    </w:p>
    <w:p>
      <w:r>
        <w:rPr>
          <w:color w:val="555555"/>
          <w:sz w:val="18"/>
        </w:rPr>
        <w:t xml:space="preserve">KONSENS-Gesetz</w:t>
      </w:r>
    </w:p>
    <w:p>
      <w:r>
        <w:rPr>
          <w:color w:val="555555"/>
          <w:sz w:val="18"/>
        </w:rPr>
        <w:t xml:space="preserve">Stand: 10.06.2019 (konsolidierte Textfassung, kein amtliches Inkrafttretensdatum)</w:t>
      </w:r>
    </w:p>
    <w:p>
      <w:r>
        <w:t xml:space="preserve">(1) IT-Verfahren und Software für den einheitlichen Einsatz werden gemeinsam für Bund und Länder beschafft oder arbeitsteilig in der Art und Weise entwickelt, dass ein Auftrag nehmendes Land oder mehrere Auftrag nehmende Länder die IT-Verfahren oder die Software nach Maßgabe der in einem Lastenheft festgelegten Anforderungen für den Einsatz in den übernehmenden Ländern entwickelt oder entwickeln.</w:t>
      </w:r>
    </w:p>
    <w:p>
      <w:r>
        <w:t xml:space="preserve">(2) IT-Verfahren und Software sind so zu gestalten, dass sie mit der Architektur in der jeweils aktuellen Fassung im Einklang stehen und ohne inhaltliche Änderung in allen Ländern und beim Bund einsetzbar sind.</w:t>
      </w:r>
    </w:p>
    <w:p>
      <w:r>
        <w:t xml:space="preserve">(3) Die durch die Steuerungsgruppe Informationstechnik nach § 9 Absatz 5 Nummer 1 Buchstabe k anerkannten unabweisbaren Besonderheiten fließen in die einheitliche Entwicklung ein.</w:t>
      </w:r>
    </w:p>
    <w:p>
      <w:r>
        <w:t xml:space="preserve">(4) Ist der Einsatz von Standardsoftware wirtschaftlicher als eine Eigenentwicklung, so ist ihr der Vorrang einzuräumen.</w:t>
      </w:r>
    </w:p>
    <w:p>
      <w:r>
        <w:rPr>
          <w:color w:val="555555"/>
          <w:sz w:val="17"/>
        </w:rPr>
        <w:t xml:space="preserve">Zitiervorschlag: § 4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