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KONSENS-G — Allgemeine Festlegungen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IT-Standards im Gesamtvorhaben KONSENS müssen offene Standards sein, die den Grundsätzen der Interoperabilität und der Wiederverwendbarkeit entsprechen. Es ist vorrangig auf bestehende Marktstandards abzustellen.</w:t>
      </w:r>
    </w:p>
    <w:p>
      <w:r>
        <w:t xml:space="preserve">(2) Aufgaben der Entwicklung sowie der Pflege und Wartung von Software sollen in der Art und Weise zugeschnitten und zu Einheiten (IT-Verfahren) zusammengefasst werden, dass sie ausschließlich an einem Entwicklungsstandort eines Auftrag nehmenden Landes wahrgenommen werden können.</w:t>
      </w:r>
    </w:p>
    <w:p>
      <w:r>
        <w:rPr>
          <w:color w:val="555555"/>
          <w:sz w:val="17"/>
        </w:rPr>
        <w:t xml:space="preserve">Zitiervorschlag: § 3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