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KONSENS-G — Haftung</w:t>
      </w:r>
    </w:p>
    <w:p>
      <w:r>
        <w:rPr>
          <w:color w:val="555555"/>
          <w:sz w:val="18"/>
        </w:rPr>
        <w:t xml:space="preserve">KONSENS-Gesetz</w:t>
      </w:r>
    </w:p>
    <w:p>
      <w:r>
        <w:rPr>
          <w:color w:val="555555"/>
          <w:sz w:val="18"/>
        </w:rPr>
        <w:t xml:space="preserve">Stand: 10.06.2019 (konsolidierte Textfassung, kein amtliches Inkrafttretensdatum)</w:t>
      </w:r>
    </w:p>
    <w:p>
      <w:r>
        <w:t xml:space="preserve">(1) Schadensersatzansprüche Dritter gehen zu Lasten derjenigen Gebietskörperschaft, die gegenüber dem Dritten aufgetreten ist.</w:t>
      </w:r>
    </w:p>
    <w:p>
      <w:r>
        <w:t xml:space="preserve">(2) Eigen- und Fremdschäden sind keine umlagefähigen Aufwendungen.</w:t>
      </w:r>
    </w:p>
    <w:p>
      <w:r>
        <w:t xml:space="preserve">(3) Für Eigenschäden von Bund und Ländern, die durch einen Bediensteten einer Gebietskörperschaft verschuldet werden, haftet diese in Höhe liquidierter Ersatzansprüche gegen den Bediensteten.</w:t>
      </w:r>
    </w:p>
    <w:p>
      <w:r>
        <w:t xml:space="preserve">(4) Für Eigenschäden, die durch Inanspruchnahme externer Unterstützung im Sinne des § 11 Absatz 3 Nummer 4 verursacht werden, haftet die den Externen beauftragende Gebietskörperschaft, soweit der Ersatzanspruch gegenüber dem Externen liquidiert wird. Bund und Länder sind verpflichtet, bei Beauftragung Externer eine einheitliche, von der Steuerungsgruppe Informationstechnik zur Verfügung gestellte, Haftungsklausel zu verwenden.</w:t>
      </w:r>
    </w:p>
    <w:p>
      <w:r>
        <w:rPr>
          <w:color w:val="555555"/>
          <w:sz w:val="17"/>
        </w:rPr>
        <w:t xml:space="preserve">Zitiervorschlag: § 28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