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KONSENS-G — Zahlungsverfahren</w:t>
      </w:r>
    </w:p>
    <w:p>
      <w:r>
        <w:rPr>
          <w:color w:val="555555"/>
          <w:sz w:val="18"/>
        </w:rPr>
        <w:t xml:space="preserve">KONSENS-Gesetz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Zahlungsverpflichtungen und die umzulegenden Aufwendungen nach § 24 sind zu verrechnen.</w:t>
      </w:r>
    </w:p>
    <w:p>
      <w:r>
        <w:rPr>
          <w:color w:val="555555"/>
          <w:sz w:val="17"/>
        </w:rPr>
        <w:t xml:space="preserve">Zitiervorschlag: § 26 KONSENS-G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https://recht.nulegal.eu/gesetze/KONSENS-G/26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