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KONSENS-G — Entwicklungsprogramme und -projekte</w:t>
      </w:r>
    </w:p>
    <w:p>
      <w:r>
        <w:rPr>
          <w:color w:val="555555"/>
          <w:sz w:val="18"/>
        </w:rPr>
        <w:t xml:space="preserve">KONSENS-Gesetz</w:t>
      </w:r>
    </w:p>
    <w:p>
      <w:r>
        <w:rPr>
          <w:color w:val="555555"/>
          <w:sz w:val="18"/>
        </w:rPr>
        <w:t xml:space="preserve">Stand: 10.06.2019 (konsolidierte Textfassung, kein amtliches Inkrafttretensdatum)</w:t>
      </w:r>
    </w:p>
    <w:p>
      <w:r>
        <w:t xml:space="preserve">(1) Jeder Entwicklungsauftrag, ausgenommen Aufträge zur Pflege von Software, wird im Rahmen eines Projektes nach Maßgabe der festgelegten Projektstrukturen durchgeführt.</w:t>
      </w:r>
    </w:p>
    <w:p>
      <w:r>
        <w:t xml:space="preserve">(2) Für jedes Projekt sind ein Projektleiter und ein Stellvertreter auf Vorschlag des Auftrag nehmenden Landes durch Entscheidung der Steuerungsgruppe Informationstechnik im Benehmen mit der Gesamtleitung zu bestellen. Der Projektleiter und dessen Stellvertreter sollen in dieser Funktion dem Projekt für die gesamte Projektlaufzeit zur Verfügung stehen.</w:t>
      </w:r>
    </w:p>
    <w:p>
      <w:r>
        <w:t xml:space="preserve">(3) Die Projekte sind in der Art und Weise mit personellen Ressourcen auszustatten, dass die Aufgabenerledigung im Projekt nicht durch die Erledigung anderer Aufgaben verzögert wird.</w:t>
      </w:r>
    </w:p>
    <w:p>
      <w:r>
        <w:t xml:space="preserve">(4) Die Projektleitung ist gegenüber der Gesamtleitung für den Projekterfolg auf der Grundlage des Projektauftrags verantwortlich. Insbesondere verantwortet sie:</w:t>
      </w:r>
    </w:p>
    <w:p>
      <w:pPr>
        <w:ind w:left="420"/>
      </w:pPr>
      <w:r>
        <w:t xml:space="preserve">1. die Entwicklung des IT-Verfahrens und der einheitlichen Software entsprechend der an sie gestellten Anforderungen,</w:t>
      </w:r>
    </w:p>
    <w:p>
      <w:pPr>
        <w:ind w:left="420"/>
      </w:pPr>
      <w:r>
        <w:t xml:space="preserve">2. den produktiven Einsatz des IT-Verfahrens und der einheitlichen Software in der Betriebsumgebung des Auftrag nehmenden Landes zum Nachweis der Einsatzeignung gegenüber der Gesamtleitung,</w:t>
      </w:r>
    </w:p>
    <w:p>
      <w:pPr>
        <w:ind w:left="420"/>
      </w:pPr>
      <w:r>
        <w:t xml:space="preserve">3. die Vorlage und/oder Fortschreibung der in § 20 Absatz 3 genannten Dokumente,</w:t>
      </w:r>
    </w:p>
    <w:p>
      <w:pPr>
        <w:ind w:left="420"/>
      </w:pPr>
      <w:r>
        <w:t xml:space="preserve">4. die Zulieferung der vom Vorhabensmanagement für Zwecke des IT-Controllings benötigten Daten (§ 15 Absatz 4) und</w:t>
      </w:r>
    </w:p>
    <w:p>
      <w:pPr>
        <w:ind w:left="420"/>
      </w:pPr>
      <w:r>
        <w:t xml:space="preserve">5. eine regelmäßige Berichterstattung gegenüber dem Multiprojektmanagement über den Fortschritt/die Zielerreichung und etwaige Risiken des Projekts.</w:t>
      </w:r>
    </w:p>
    <w:p>
      <w:r>
        <w:t xml:space="preserve">(5) Die Projektleitung ist gegenüber der Gesamtleitung weisungsgebunden.</w:t>
      </w:r>
    </w:p>
    <w:p>
      <w:r>
        <w:t xml:space="preserve">(6) Zur organisatorischen Unterstützung der Projektleitung wird ein Projektbüro eingerichtet.</w:t>
      </w:r>
    </w:p>
    <w:p>
      <w:r>
        <w:rPr>
          <w:color w:val="555555"/>
          <w:sz w:val="17"/>
        </w:rPr>
        <w:t xml:space="preserve">Zitiervorschlag: § 22 KONSENS-G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https://recht.nulegal.eu/gesetze/KONSENS-G/22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