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KONSENS-G — Begriffsbestimmungen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 oder sind:</w:t>
      </w:r>
    </w:p>
    <w:p>
      <w:pPr>
        <w:ind w:left="420"/>
      </w:pPr>
      <w:r>
        <w:t xml:space="preserve">1. „Gesamtvorhaben KONSENS“ das Zusammenwirken des Bundes und der Länder nach § 1,</w:t>
      </w:r>
    </w:p>
    <w:p>
      <w:pPr>
        <w:ind w:left="420"/>
      </w:pPr>
      <w:r>
        <w:t xml:space="preserve">2. „IT-Verfahren“ die Zusammenfassung mehrerer Software-Entwicklungen,</w:t>
      </w:r>
    </w:p>
    <w:p>
      <w:pPr>
        <w:ind w:left="420"/>
      </w:pPr>
      <w:r>
        <w:t xml:space="preserve">3. „Hauptversion“ eine neue Version einer Software mit signifikant erweiterter Funktionalität,</w:t>
      </w:r>
    </w:p>
    <w:p>
      <w:pPr>
        <w:ind w:left="420"/>
      </w:pPr>
      <w:r>
        <w:t xml:space="preserve">4. „Vorhabensplan“ der jährlich fortzuschreibende Plan der zu entwickelnden IT-Verfahren und Software,</w:t>
      </w:r>
    </w:p>
    <w:p>
      <w:pPr>
        <w:ind w:left="420"/>
      </w:pPr>
      <w:r>
        <w:t xml:space="preserve">5. „Sourcingstrategie“ die Entwicklung, Anpassung und Planung einer Beschaffungsstrategie zum Einsatz interner und externer Unterstützung,</w:t>
      </w:r>
    </w:p>
    <w:p>
      <w:pPr>
        <w:ind w:left="420"/>
      </w:pPr>
      <w:r>
        <w:t xml:space="preserve">6. „Architektur“ eine Beschreibung von IT-, Fach- und Betriebsarchitektur einschließlich der technischen Basis, auf der IT-Verfahren oder Software zur Umsetzung der festgelegten Anforderungen bereitgestellt werden müssen.</w:t>
      </w:r>
    </w:p>
    <w:p>
      <w:r>
        <w:rPr>
          <w:color w:val="555555"/>
          <w:sz w:val="17"/>
        </w:rPr>
        <w:t xml:space="preserve">Zitiervorschlag: § 2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