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KONSENS-G — Architekturmanagement</w:t>
      </w:r>
    </w:p>
    <w:p>
      <w:r>
        <w:rPr>
          <w:color w:val="555555"/>
          <w:sz w:val="18"/>
        </w:rPr>
        <w:t xml:space="preserve">KONSENS-Gesetz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Steuerung der Entwicklung und Pflege von IT-Verfahren und Software werden Anforderungen und IT-Standards im Soll-Bebauungsplan vorgegeben.</w:t>
      </w:r>
    </w:p>
    <w:p>
      <w:r>
        <w:t xml:space="preserve">(2) Das Architekturmanagement unterstützt die Gesamtleitung bei der Erarbeitung einer Architektur für die IT-Infrastruktur des Gesamtvorhabens KONSENS. Es entwickelt die Architekturfestlegungen für die Entwicklungs-, Test- und Betriebsumgebungen und wacht über deren Einhaltung.</w:t>
      </w:r>
    </w:p>
    <w:p>
      <w:r>
        <w:t xml:space="preserve">(3) Ziel der Architekturfestlegungen ist die Modernisierung und Vereinheitlichung der IT-Verfahren, der Software sowie der Entwicklungs-, Test- und Betriebsumgebungen. Bei der Erarbeitung orientiert sich das Architekturmanagement auch an neuen technologischen Entwicklungen und nimmt sie erforderlichenfalls in seine Festlegungen auf.</w:t>
      </w:r>
    </w:p>
    <w:p>
      <w:r>
        <w:t xml:space="preserve">(4) Die Festlegungen des Architekturmanagements sind für die Entwicklungsprogramme und -projekte sowie für die Länder verbindlich, soweit die Steuerungsgruppe Informationstechnik diese Aufgabe an das Architekturmanagement delegiert hat.</w:t>
      </w:r>
    </w:p>
    <w:p>
      <w:r>
        <w:t xml:space="preserve">(5) Aufgaben des Architekturmanagements sind insbesondere</w:t>
      </w:r>
    </w:p>
    <w:p>
      <w:pPr>
        <w:ind w:left="420"/>
      </w:pPr>
      <w:r>
        <w:t xml:space="preserve">1. die Ermittlung und Abstimmung von Anforderungen an die Architektur,</w:t>
      </w:r>
    </w:p>
    <w:p>
      <w:pPr>
        <w:ind w:left="420"/>
      </w:pPr>
      <w:r>
        <w:t xml:space="preserve">2. die Festlegung, Weiterentwicklung und Kontrolle der Einhaltung der Geschäftsarchitektur, Sicherheitsarchitektur, funktionalen Architektur, technischen Zielarchitektur, Infrastrukturarchitektur und Betriebsarchitektur,</w:t>
      </w:r>
    </w:p>
    <w:p>
      <w:pPr>
        <w:ind w:left="420"/>
      </w:pPr>
      <w:r>
        <w:t xml:space="preserve">3. die Erarbeitung der Facharchitektur unter Einbeziehung der für die Organisations- und Fachanforderungen zuständigen Stellen,</w:t>
      </w:r>
    </w:p>
    <w:p>
      <w:pPr>
        <w:ind w:left="420"/>
      </w:pPr>
      <w:r>
        <w:t xml:space="preserve">4. die Festlegung der zu nutzenden IT-Standards für eine Integrationsarchitektur (z. B. Webdienste, Schnittstellentechnologien),</w:t>
      </w:r>
    </w:p>
    <w:p>
      <w:pPr>
        <w:ind w:left="420"/>
      </w:pPr>
      <w:r>
        <w:t xml:space="preserve">5. die Festlegung der einzusetzenden Betriebssysteme und Standardsoftware und</w:t>
      </w:r>
    </w:p>
    <w:p>
      <w:pPr>
        <w:ind w:left="420"/>
      </w:pPr>
      <w:r>
        <w:t xml:space="preserve">6. die Erarbeitung von IT-Ablaufprozessen.</w:t>
      </w:r>
    </w:p>
    <w:p>
      <w:r>
        <w:rPr>
          <w:color w:val="555555"/>
          <w:sz w:val="17"/>
        </w:rPr>
        <w:t xml:space="preserve">Zitiervorschlag: § 16 KONSENS-G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https://recht.nulegal.eu/gesetze/KONSENS-G/16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