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KONSENS-G — Anwendungsbereich</w:t>
      </w:r>
    </w:p>
    <w:p>
      <w:r>
        <w:rPr>
          <w:color w:val="555555"/>
          <w:sz w:val="18"/>
        </w:rPr>
        <w:t xml:space="preserve">KONSENS-Gesetz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erheblichen Verbesserung oder Erleichterung des gleichmäßigen Vollzugs der von den Ländern im Auftrag des Bundes verwalteten Steuern wirken Bund und Länder beim einheitlichen Einsatz von IT-Verfahren und Software sowie ihrer einheitlichen Entwicklung zusammen. Der Gegenstand sowie die Art und Weise des Zusammenwirkens werden durch dieses Gesetz geregelt.</w:t>
      </w:r>
    </w:p>
    <w:p>
      <w:r>
        <w:t xml:space="preserve">(2) Das Zusammenwirken nach Absatz 1 umfasst die Planung, Beschaffung und Entwicklung sowie den Einsatz, die Pflege und Wartung der einheitlichen IT-Verfahren und der einheitlichen Software.</w:t>
      </w:r>
    </w:p>
    <w:p>
      <w:r>
        <w:rPr>
          <w:color w:val="555555"/>
          <w:sz w:val="17"/>
        </w:rPr>
        <w:t xml:space="preserve">Zitiervorschlag: § 1 KONSENS-G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https://recht.nulegal.eu/gesetze/KONSENS-G/1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