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KOG (Nordrhein-Westfalen)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Dezember 2007</w:t>
      </w:r>
    </w:p>
    <w:p>
      <w:r>
        <w:t xml:space="preserve">(Artikel I des Gesetzes zur Novellierung des Kurortegesetzes sowie zur</w:t>
      </w:r>
    </w:p>
    <w:p>
      <w:r>
        <w:t xml:space="preserve">Änderung und Aufhebung weiterer Gesetze und Verordnungen vom 11. Dezember 2007</w:t>
      </w:r>
    </w:p>
    <w:p>
      <w:r>
        <w:t xml:space="preserve">(GV. NRW. 2008 S. 8))</w:t>
      </w:r>
    </w:p>
    <w:p>
      <w:r>
        <w:t xml:space="preserve">Inhaltsverzeichnis</w:t>
      </w:r>
    </w:p>
    <w:p>
      <w:r>
        <w:t xml:space="preserve">1. Abschnitt</w:t>
      </w:r>
    </w:p>
    <w:p>
      <w:r>
        <w:t xml:space="preserve">Begriffsbestimmungen, Staatliche Anerkennung</w:t>
      </w:r>
    </w:p>
    <w:p>
      <w:r>
        <w:t xml:space="preserve">§ 1</w:t>
      </w:r>
    </w:p>
    <w:p>
      <w:r>
        <w:t xml:space="preserve">Begriffsbestimmungen</w:t>
      </w:r>
    </w:p>
    <w:p>
      <w:r>
        <w:t xml:space="preserve">§ 2</w:t>
      </w:r>
    </w:p>
    <w:p>
      <w:r>
        <w:t xml:space="preserve">Grundsätze</w:t>
      </w:r>
    </w:p>
    <w:p>
      <w:r>
        <w:t xml:space="preserve">2. Abschnitt</w:t>
      </w:r>
    </w:p>
    <w:p>
      <w:r>
        <w:t xml:space="preserve">Voraussetzungen für die Artbezeichnungen</w:t>
      </w:r>
    </w:p>
    <w:p>
      <w:r>
        <w:t xml:space="preserve">§ 3</w:t>
      </w:r>
    </w:p>
    <w:p>
      <w:r>
        <w:t xml:space="preserve">Gemeinsame Voraussetzungen für Kurorte</w:t>
      </w:r>
    </w:p>
    <w:p>
      <w:r>
        <w:t xml:space="preserve">§ 4</w:t>
      </w:r>
    </w:p>
    <w:p>
      <w:r>
        <w:t xml:space="preserve">Heilbad</w:t>
      </w:r>
    </w:p>
    <w:p>
      <w:r>
        <w:t xml:space="preserve">§ 5</w:t>
      </w:r>
    </w:p>
    <w:p>
      <w:r>
        <w:t xml:space="preserve">Kneipp-Heilbad</w:t>
      </w:r>
    </w:p>
    <w:p>
      <w:r>
        <w:t xml:space="preserve">§ 6</w:t>
      </w:r>
    </w:p>
    <w:p>
      <w:r>
        <w:t xml:space="preserve">Heilklimatischer Kurort</w:t>
      </w:r>
    </w:p>
    <w:p>
      <w:r>
        <w:t xml:space="preserve">§ 7</w:t>
      </w:r>
    </w:p>
    <w:p>
      <w:r>
        <w:t xml:space="preserve">Kneipp-Kurort</w:t>
      </w:r>
    </w:p>
    <w:p>
      <w:r>
        <w:t xml:space="preserve">§ 8</w:t>
      </w:r>
    </w:p>
    <w:p>
      <w:r>
        <w:t xml:space="preserve">Ort mit Heilquellen-Kurbetrieb</w:t>
      </w:r>
    </w:p>
    <w:p>
      <w:r>
        <w:t xml:space="preserve">§ 9</w:t>
      </w:r>
    </w:p>
    <w:p>
      <w:r>
        <w:t xml:space="preserve">Ort mit Heilstollen-Kurbetrieb</w:t>
      </w:r>
    </w:p>
    <w:p>
      <w:r>
        <w:t xml:space="preserve">§ 10</w:t>
      </w:r>
    </w:p>
    <w:p>
      <w:r>
        <w:t xml:space="preserve">Ort mit Peloid- oder Moor-Kurbetrieb</w:t>
      </w:r>
    </w:p>
    <w:p>
      <w:r>
        <w:t xml:space="preserve">§ 11</w:t>
      </w:r>
    </w:p>
    <w:p>
      <w:r>
        <w:t xml:space="preserve">Luftkurort</w:t>
      </w:r>
    </w:p>
    <w:p>
      <w:r>
        <w:t xml:space="preserve">§ 12</w:t>
      </w:r>
    </w:p>
    <w:p>
      <w:r>
        <w:t xml:space="preserve">Erholungsort</w:t>
      </w:r>
    </w:p>
    <w:p>
      <w:r>
        <w:t xml:space="preserve">3. Abschnitt</w:t>
      </w:r>
    </w:p>
    <w:p>
      <w:r>
        <w:t xml:space="preserve">Natürliches Heilwasser</w:t>
      </w:r>
    </w:p>
    <w:p>
      <w:r>
        <w:t xml:space="preserve">§ 13</w:t>
      </w:r>
    </w:p>
    <w:p>
      <w:r>
        <w:t xml:space="preserve">Verwendung der Bezeichnung</w:t>
      </w:r>
    </w:p>
    <w:p>
      <w:r>
        <w:t xml:space="preserve">§ 14</w:t>
      </w:r>
    </w:p>
    <w:p>
      <w:r>
        <w:t xml:space="preserve">Naturbelassenheit, Polster und Filter</w:t>
      </w:r>
    </w:p>
    <w:p>
      <w:r>
        <w:t xml:space="preserve">§ 15</w:t>
      </w:r>
    </w:p>
    <w:p>
      <w:r>
        <w:t xml:space="preserve">Betreiben der Anlage</w:t>
      </w:r>
    </w:p>
    <w:p>
      <w:r>
        <w:t xml:space="preserve">§ 16</w:t>
      </w:r>
    </w:p>
    <w:p>
      <w:r>
        <w:t xml:space="preserve">Quellort</w:t>
      </w:r>
    </w:p>
    <w:p>
      <w:r>
        <w:t xml:space="preserve">4. Abschnitt</w:t>
      </w:r>
    </w:p>
    <w:p>
      <w:r>
        <w:t xml:space="preserve">Verfahren</w:t>
      </w:r>
    </w:p>
    <w:p>
      <w:r>
        <w:t xml:space="preserve">§ 17</w:t>
      </w:r>
    </w:p>
    <w:p>
      <w:r>
        <w:t xml:space="preserve">Anerkennungsverfahren</w:t>
      </w:r>
    </w:p>
    <w:p>
      <w:r>
        <w:t xml:space="preserve">§ 18</w:t>
      </w:r>
    </w:p>
    <w:p>
      <w:r>
        <w:t xml:space="preserve">Nebenbestimmungen, Überprüfungen</w:t>
      </w:r>
    </w:p>
    <w:p>
      <w:r>
        <w:t xml:space="preserve">§ 19</w:t>
      </w:r>
    </w:p>
    <w:p>
      <w:r>
        <w:t xml:space="preserve">Führen von Artbezeichnungen</w:t>
      </w:r>
    </w:p>
    <w:p>
      <w:r>
        <w:t xml:space="preserve">§ 20</w:t>
      </w:r>
    </w:p>
    <w:p>
      <w:r>
        <w:t xml:space="preserve">Rücknahme und Widerruf der staatlichen Anerkennung</w:t>
      </w:r>
    </w:p>
    <w:p>
      <w:r>
        <w:t xml:space="preserve">§ 21</w:t>
      </w:r>
    </w:p>
    <w:p>
      <w:r>
        <w:t xml:space="preserve">Zuständigkeiten</w:t>
      </w:r>
    </w:p>
    <w:p>
      <w:r>
        <w:t xml:space="preserve">5. Abschnitt</w:t>
      </w:r>
    </w:p>
    <w:p>
      <w:r>
        <w:t xml:space="preserve">Landesfachbeirat für Kurorte und Heilquellen</w:t>
      </w:r>
    </w:p>
    <w:p>
      <w:r>
        <w:t xml:space="preserve">§ 22</w:t>
      </w:r>
    </w:p>
    <w:p>
      <w:r>
        <w:t xml:space="preserve">Errichtung und Tätigkeit</w:t>
      </w:r>
    </w:p>
    <w:p>
      <w:r>
        <w:t xml:space="preserve">6. Abschnitt</w:t>
      </w:r>
    </w:p>
    <w:p>
      <w:r>
        <w:t xml:space="preserve">Übergangs-, Bußgeld- und Schlussbestimmungen</w:t>
      </w:r>
    </w:p>
    <w:p>
      <w:r>
        <w:t xml:space="preserve">§ 23</w:t>
      </w:r>
    </w:p>
    <w:p>
      <w:r>
        <w:t xml:space="preserve">Ordnungswidrigkeiten</w:t>
      </w:r>
    </w:p>
    <w:p>
      <w:r>
        <w:t xml:space="preserve">§ 24</w:t>
      </w:r>
    </w:p>
    <w:p>
      <w:r>
        <w:t xml:space="preserve">Übergangsbestimmung</w:t>
      </w:r>
    </w:p>
    <w:p>
      <w:r>
        <w:t xml:space="preserve">§ 25</w:t>
      </w:r>
    </w:p>
    <w:p>
      <w:r>
        <w:t xml:space="preserve">Inkrafttreten, Außerkrafttreten, Berichtspflicht</w:t>
      </w:r>
    </w:p>
    <w:p>
      <w:r>
        <w:t xml:space="preserve">1. Abschnitt</w:t>
      </w:r>
    </w:p>
    <w:p>
      <w:r>
        <w:t xml:space="preserve">Begriffsbestimmungen, Staatliche Anerkennung</w:t>
      </w:r>
    </w:p>
    <w:p>
      <w:r>
        <w:rPr>
          <w:color w:val="555555"/>
          <w:sz w:val="17"/>
        </w:rPr>
        <w:t xml:space="preserve">Zitiervorschlag: Volltext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