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KOG (Nordrhein-Westfalen) — Übergangsbestimmung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Aufgrund des Kurortegesetzes vom 8. Januar 1975 (GV. NRW. S. 12), das zuletzt durch Artikel 1 des Gesetzes vom 11. Dezember 2007 (GV. NRW. 2008 S. 8) geändert worden ist, erteilte staatliche Anerkennungen bleiben unter ihrer bisherigen Artbezeichnung aufrechterhalten.</w:t>
      </w:r>
    </w:p>
    <w:p>
      <w:r>
        <w:t xml:space="preserve">(2) Im Rahmen der Überprüfung nach § 18 Absatz 2 gilt die Anforderung nach § 3 Nummer 1 als erfüllt, wenn die Gemeinde ein der Artbezeichnung entsprechendes Kurgebiet und dessen Darstellung und Erläuterung im Flächennutzungsplan nachweist.</w:t>
      </w:r>
    </w:p>
    <w:p>
      <w:r>
        <w:t xml:space="preserve">(3) Im Rahmen der Überprüfung nach § 18 Absatz 2 gilt die Anforderung nach § 3 Nummer 3 als erfüllt, wenn die Gemeinde einen der Artbezeichnung entsprechenden Orts-charakter und dessen Sicherung durch die Bauleitplanung nachweist.</w:t>
      </w:r>
    </w:p>
    <w:p>
      <w:r>
        <w:rPr>
          <w:color w:val="555555"/>
          <w:sz w:val="17"/>
        </w:rPr>
        <w:t xml:space="preserve">Zitiervorschlag: § 24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