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KOG (Nordrhein-Westfalen) — Ordnungswidrigkeiten</w:t>
      </w:r>
    </w:p>
    <w:p>
      <w:r>
        <w:rPr>
          <w:color w:val="555555"/>
          <w:sz w:val="18"/>
        </w:rPr>
        <w:t xml:space="preserve">Kurortegesetz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Ordnungswidrig handelt, wer</w:t>
      </w:r>
    </w:p>
    <w:p>
      <w:r>
        <w:t xml:space="preserve">1. entgegen § 13 die Bezeichnung „Natürliches Heilwasser“ verwendet,</w:t>
      </w:r>
    </w:p>
    <w:p>
      <w:r>
        <w:t xml:space="preserve">2. entgegen § 19 Abs. 1 Satz 1 eine Artbezeichnung im Sinne des § 2 Abs. 1 verwendet,</w:t>
      </w:r>
    </w:p>
    <w:p>
      <w:r>
        <w:t xml:space="preserve">3. entgegen § 19 Abs. 3 die Bezeichnung „staatlich anerkannter Kurort“ verwendet,</w:t>
      </w:r>
    </w:p>
    <w:p>
      <w:r>
        <w:t xml:space="preserve">4. entgegen § 19 Abs. 5 eine Bezeichnung verwendet, die geeignet ist, eine Artbezeichnung im Sinne des § 2 Abs. 1 vorzutäuschen oder mit dieser verwechselt zu werden.</w:t>
      </w:r>
    </w:p>
    <w:p>
      <w:r>
        <w:t xml:space="preserve">(2) Die Ordnungswidrigkeit kann mit einer Geldbuße bis zu fünftausend Euro geahndet werden.</w:t>
      </w:r>
    </w:p>
    <w:p>
      <w:r>
        <w:t xml:space="preserve">(3) Verwaltungsbehörde im Sinne des § 36 Abs. 1 Nr. 1 des Gesetzes über Ordnungswidrigkeiten ist bei Ordnungswidrigkeiten nach diesem Gesetz die nach § 21 Abs. 1 zuständige Behörde.</w:t>
      </w:r>
    </w:p>
    <w:p>
      <w:r>
        <w:rPr>
          <w:color w:val="555555"/>
          <w:sz w:val="17"/>
        </w:rPr>
        <w:t xml:space="preserve">Zitiervorschlag: § 23 KOG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https://recht.nulegal.eu/gesetze/KOG/23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