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KOG (Nordrhein-Westfalen) — Betreiben der Anlage</w:t>
      </w:r>
    </w:p>
    <w:p>
      <w:r>
        <w:rPr>
          <w:color w:val="555555"/>
          <w:sz w:val="18"/>
        </w:rPr>
        <w:t xml:space="preserve">Kurortegesetz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Anlage muss hygienisch einwandfrei betrieben werden; entsprechende Auflagen können auch nach der Verleihung erteilt werden.</w:t>
      </w:r>
    </w:p>
    <w:p>
      <w:r>
        <w:t xml:space="preserve">(2) Das Umschlagen des Heilwassers in Tankwagen außerhalb des Quellortes ist unzulässig.</w:t>
      </w:r>
    </w:p>
    <w:p>
      <w:r>
        <w:rPr>
          <w:color w:val="555555"/>
          <w:sz w:val="17"/>
        </w:rPr>
        <w:t xml:space="preserve">Zitiervorschlag: § 15 KOG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https://recht.nulegal.eu/gesetze/KOG/15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