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KOG (Nordrhein-Westfalen) — Verwendung der Bezeichnung</w:t>
      </w:r>
    </w:p>
    <w:p>
      <w:r>
        <w:rPr>
          <w:color w:val="555555"/>
          <w:sz w:val="18"/>
        </w:rPr>
        <w:t xml:space="preserve">Kurortegesetz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zur Nutzung einer Heilquelle berechtigten Person kann nach staatlicher Anerkennung gemäß § 53 Absatz 2 des Wasserhaushaltsgesetzes vom 31. Juli 2009 (BGBl. I S. 2585), in der jeweils geltenden Fassung auf Antrag das Recht verliehen werden, für das Wasser unter Hinweis auf die staatliche Anerkennung die Bezeichnung „Natürliches Heilwasser“ zu verwenden, wenn</w:t>
      </w:r>
    </w:p>
    <w:p>
      <w:r>
        <w:t xml:space="preserve">1. die Herkunft aus einer staatlich anerkannten Heilquelle ohne Entzug irgendwelcher Bestandteile oder Zusatz irgendwelcher Stoffe - Naturbelassenheit -,</w:t>
      </w:r>
    </w:p>
    <w:p>
      <w:r>
        <w:t xml:space="preserve">2. die Abfüllung am Quellort,</w:t>
      </w:r>
    </w:p>
    <w:p>
      <w:r>
        <w:t xml:space="preserve">3. der wissenschaftlich belegte Ausschluss chemischer und biologischer Veränderungen,</w:t>
      </w:r>
    </w:p>
    <w:p>
      <w:r>
        <w:t xml:space="preserve">4. die Festsetzung der durch Erfahrung bewährten, traditionellen Hauptheilanzeigen sowie Gegenanzeigen sowie</w:t>
      </w:r>
    </w:p>
    <w:p>
      <w:r>
        <w:t xml:space="preserve">5. eine gültige Erlaubnis nach § 13 Arzneimittelgesetz</w:t>
      </w:r>
    </w:p>
    <w:p>
      <w:r>
        <w:t xml:space="preserve">nachgewiesen sind.</w:t>
      </w:r>
    </w:p>
    <w:p>
      <w:r>
        <w:rPr>
          <w:color w:val="555555"/>
          <w:sz w:val="17"/>
        </w:rPr>
        <w:t xml:space="preserve">Zitiervorschlag: § 13 KOG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https://recht.nulegal.eu/gesetze/KOG/13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