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KOG (Nordrhein-Westfalen) — Erholungsort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Artbezeichnung „Erholungsort“ kann verliehen werden, wenn die Voraussetzungen nach § 3 Nrn. 3, 10, 11, 13, 14 und 17 erfüllt sind.</w:t>
      </w:r>
    </w:p>
    <w:p>
      <w:r>
        <w:t xml:space="preserve">3. Abschnitt</w:t>
      </w:r>
    </w:p>
    <w:p>
      <w:r>
        <w:t xml:space="preserve">Natürliches Heilwasser</w:t>
      </w:r>
    </w:p>
    <w:p>
      <w:r>
        <w:rPr>
          <w:color w:val="555555"/>
          <w:sz w:val="17"/>
        </w:rPr>
        <w:t xml:space="preserve">Zitiervorschlag: § 12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