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KNV-V — Verhältnis zu anderen Vorschriften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25.04.2025 (konsolidierte Textfassung, kein amtliches Inkrafttretensdatum)</w:t>
      </w:r>
    </w:p>
    <w:p>
      <w:r>
        <w:t xml:space="preserve">§ 7 der Verordnung über Großfeuerungs-, Gasturbinen- und Verbrennungsmotoranlagen sowie § 13 der Verordnung über die Verbrennung und die Mitverbrennung von Abfällen vom 2. Mai 2013 (BGBl. I S. 1021, 1044, 3754) bleiben unberührt.</w:t>
      </w:r>
    </w:p>
    <w:p>
      <w:r>
        <w:rPr>
          <w:color w:val="555555"/>
          <w:sz w:val="17"/>
        </w:rPr>
        <w:t xml:space="preserve">Zitiervorschlag: § 9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