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KNV-V — Ergebnis des Kosten-Nutzen-Vergleichs</w:t>
      </w:r>
    </w:p>
    <w:p>
      <w:r>
        <w:rPr>
          <w:color w:val="555555"/>
          <w:sz w:val="18"/>
        </w:rPr>
        <w:t xml:space="preserve">KWK-Kosten-Nutzen-Vergleich-Verordnung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Ergebnis des Kosten-Nutzen-Vergleichs der Wirtschaftlichkeitsanalyse gemäß § 6 Absatz 3 Nummer 6 ist positiv, wenn</w:t>
      </w:r>
    </w:p>
    <w:p>
      <w:pPr>
        <w:ind w:left="420"/>
      </w:pPr>
      <w:r>
        <w:t xml:space="preserve">1. bei Anlagen gemäß § 1 Nummer 1 Buchstabe a die ermittelten Gesamtkosten, die bei der Deckung des Strom- und Wärmebedarfs durch eine hocheffiziente Kraft-Wärme-Kopplung entstünden, niedriger sind als die Kosten zur Deckung desselben Bedarfs ohne Nutzung einer hocheffizienten Kraft-Wärme-Kopplung,</w:t>
      </w:r>
    </w:p>
    <w:p>
      <w:pPr>
        <w:ind w:left="420"/>
      </w:pPr>
      <w:r>
        <w:t xml:space="preserve">2. bei Anlagen gemäß § 1 Nummer 1 Buchstabe b die ermittelten Gesamtkosten, die zur Deckung des Wärme- und Kältebedarfs mit Anbindung der Anlage an ein Fernwärme- oder Fernkältenetz entstünden, niedriger sind als die Kosten zur Deckung desselben Bedarfs ohne Anbindung der Anlage an ein Fernwärme- oder Fernkältenetz,</w:t>
      </w:r>
    </w:p>
    <w:p>
      <w:pPr>
        <w:ind w:left="420"/>
      </w:pPr>
      <w:r>
        <w:t xml:space="preserve">3. bei Anlagen gemäß § 1 Nummer 1 Buchstabe c und bei Fernwärme- oder Fernkältenetzen gemäß § 1 Nummer 2 die ermittelten Gesamtkosten, die zur Deckung des Wärme- und Kältebedarfs unter Nutzung der Abwärme von nahegelegenen Anlagen entstünden, niedriger sind als die Kosten zur Deckung desselben Bedarfs aus eigenen Anlagen.</w:t>
      </w:r>
    </w:p>
    <w:p>
      <w:r>
        <w:rPr>
          <w:color w:val="555555"/>
          <w:sz w:val="17"/>
        </w:rPr>
        <w:t xml:space="preserve">Zitiervorschlag: § 7 KNV-V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https://recht.nulegal.eu/gesetze/KNV-V/7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