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KNV-V — Begriffsbestimmungen</w:t>
      </w:r>
    </w:p>
    <w:p>
      <w:r>
        <w:rPr>
          <w:color w:val="555555"/>
          <w:sz w:val="18"/>
        </w:rPr>
        <w:t xml:space="preserve">KWK-Kosten-Nutzen-Vergleich-Verordnung</w:t>
      </w:r>
    </w:p>
    <w:p>
      <w:r>
        <w:rPr>
          <w:color w:val="555555"/>
          <w:sz w:val="18"/>
        </w:rPr>
        <w:t xml:space="preserve">Stand: 28.11.2025 (konsolidierte Textfassung, kein amtliches Inkrafttretensdatum)</w:t>
      </w:r>
    </w:p>
    <w:p>
      <w:r>
        <w:t xml:space="preserve">Im Sinne dieser Verordnung sind:</w:t>
      </w:r>
    </w:p>
    <w:p>
      <w:pPr>
        <w:ind w:left="420"/>
      </w:pPr>
      <w:r>
        <w:t xml:space="preserve">1. „Kraft-Wärme-Kopplung“:Kraft-Wärme-Kopplung im Sinne des § 2 Nummer 13 des Kraft-Wärme-Kopplungsgesetzes;</w:t>
      </w:r>
    </w:p>
    <w:p>
      <w:pPr>
        <w:ind w:left="420"/>
      </w:pPr>
      <w:r>
        <w:t xml:space="preserve">2. „wirtschaftlich vertretbarer Bedarf“:Bedarf, der die benötigte Wärme- oder Kühlungsleistung nicht überschreitet und der sonst durch andere Energieerzeugungsprozesse als Kraft-Wärme-Kopplung zu Marktbedingungen gedeckt würde;</w:t>
      </w:r>
    </w:p>
    <w:p>
      <w:pPr>
        <w:ind w:left="420"/>
      </w:pPr>
      <w:r>
        <w:t xml:space="preserve">3. „hocheffiziente Kraft-Wärme-Kopplung“:Kraft-Wärme-Kopplung, die den in Anhang II der Richtlinie 2012/27/EU des Europäischen Parlaments und des Rates vom 25. Oktober 2012 zur Energieeffizienz, zur Änderung der Richtlinien 2009/125/EG und 2010/30/EU und zur Aufhebung der Richtlinien 2004/8/EG und 2006/32/EG (ABl. L 315 vom 14.11.2012, S. 1) festgelegten Kriterien entspricht;</w:t>
      </w:r>
    </w:p>
    <w:p>
      <w:pPr>
        <w:ind w:left="420"/>
      </w:pPr>
      <w:r>
        <w:t xml:space="preserve">4. „Fernwärmenetz“:Wärmenetz im Sinne des § 2 Nummer 32 des Kraft-Wärme-Kopplungsgesetzes;</w:t>
      </w:r>
    </w:p>
    <w:p>
      <w:pPr>
        <w:ind w:left="420"/>
      </w:pPr>
      <w:r>
        <w:t xml:space="preserve">5. „Fernkältenetz“:Kältenetz im Sinne des § 2 Nummer 10 des Kraft-Wärme-Kopplungsgesetzes;</w:t>
      </w:r>
    </w:p>
    <w:p>
      <w:pPr>
        <w:ind w:left="420"/>
      </w:pPr>
      <w:r>
        <w:t xml:space="preserve">6. „Trasse“:Trasse im Sinne des § 2 Nummer 29 des Kraft-Wärme-Kopplungsgesetzes;</w:t>
      </w:r>
    </w:p>
    <w:p>
      <w:pPr>
        <w:ind w:left="420"/>
      </w:pPr>
      <w:r>
        <w:t xml:space="preserve">7. „erhebliche Modernisierung“:wesentliche Änderung, deren Kosten mehr als 50 Prozent der Investitionskosten für eine neue vergleichbare Anlage betragen; der Einbau von Ausrüstungen für die Abscheidung des von einer Anlage gemäß § 1 Nummer 1 erzeugten Kohlendioxid im Hinblick auf seine geologische Speicherung gemäß dem Kohlendioxid-Speicherung-und-Transport-Gesetz gilt nicht als erhebliche Modernisierung;</w:t>
      </w:r>
    </w:p>
    <w:p>
      <w:pPr>
        <w:ind w:left="420"/>
      </w:pPr>
      <w:r>
        <w:t xml:space="preserve">8. „effiziente Fernwärme- oder Fernkälteversorgung“:Versorgung über ein Fernwärme- oder Fernkältesystem mit einer Nutzung von mindestens</w:t>
      </w:r>
    </w:p>
    <w:p>
      <w:pPr>
        <w:ind w:left="780"/>
      </w:pPr>
      <w:r>
        <w:t xml:space="preserve">a) 50 Prozent erneuerbare Energien,</w:t>
      </w:r>
    </w:p>
    <w:p>
      <w:pPr>
        <w:ind w:left="780"/>
      </w:pPr>
      <w:r>
        <w:t xml:space="preserve">b) 50 Prozent Abwärme,</w:t>
      </w:r>
    </w:p>
    <w:p>
      <w:pPr>
        <w:ind w:left="780"/>
      </w:pPr>
      <w:r>
        <w:t xml:space="preserve">c) 75 Prozent Wärme aus Kraft-Wärme-Kopplung oder</w:t>
      </w:r>
    </w:p>
    <w:p>
      <w:pPr>
        <w:ind w:left="780"/>
      </w:pPr>
      <w:r>
        <w:t xml:space="preserve">d) 50 Prozent einer Kombination dieser Energien und dieser Wärme.</w:t>
      </w:r>
    </w:p>
    <w:p>
      <w:r>
        <w:rPr>
          <w:color w:val="555555"/>
          <w:sz w:val="17"/>
        </w:rPr>
        <w:t xml:space="preserve">Zitiervorschlag: § 2 KNV-V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https://recht.nulegal.eu/gesetze/KNV-V/2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