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KNV-V — Erstmalige Anwendung</w:t>
      </w:r>
    </w:p>
    <w:p>
      <w:r>
        <w:rPr>
          <w:color w:val="555555"/>
          <w:sz w:val="18"/>
        </w:rPr>
        <w:t xml:space="preserve">KWK-Kosten-Nutzen-Vergleich-Verordnung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nicht für Vorhaben, bei denen die Vollständigkeit der Antragunterlagen vor dem 1. Mai 2015 von der zuständigen Behörde festgestellt worden ist.</w:t>
      </w:r>
    </w:p>
    <w:p>
      <w:r>
        <w:rPr>
          <w:color w:val="555555"/>
          <w:sz w:val="17"/>
        </w:rPr>
        <w:t xml:space="preserve">Zitiervorschlag: § 10 KNV-V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https://recht.nulegal.eu/gesetze/KNV-V/10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