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KNV-V — Anwendungsbereich</w:t>
      </w:r>
    </w:p>
    <w:p>
      <w:r>
        <w:rPr>
          <w:color w:val="555555"/>
          <w:sz w:val="18"/>
        </w:rPr>
        <w:t xml:space="preserve">KWK-Kosten-Nutzen-Vergleich-Verordnung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</w:t>
      </w:r>
    </w:p>
    <w:p>
      <w:pPr>
        <w:ind w:left="420"/>
      </w:pPr>
      <w:r>
        <w:t xml:space="preserve">1. die Genehmigung der Errichtung oder erheblichen Modernisierung</w:t>
      </w:r>
    </w:p>
    <w:p>
      <w:pPr>
        <w:ind w:left="780"/>
      </w:pPr>
      <w:r>
        <w:t xml:space="preserve">a) einer Feuerungsanlage zur Erzeugung von Strom mit einer Feuerungswärmeleistung von mehr als 20 MW,</w:t>
      </w:r>
    </w:p>
    <w:p>
      <w:pPr>
        <w:ind w:left="780"/>
      </w:pPr>
      <w:r>
        <w:t xml:space="preserve">b) einer sonstigen Anlage, bei der Abwärme mit einem nutzbaren Temperaturniveau entsteht, mit einer Feuerungswärmeleistung von mehr als 20 MW,</w:t>
      </w:r>
    </w:p>
    <w:p>
      <w:pPr>
        <w:ind w:left="780"/>
      </w:pPr>
      <w:r>
        <w:t xml:space="preserve">c) einer Feuerungsanlage zur Erzeugung von Wärme mit einer Feuerungswärmeleistung von mehr als 20 MW in einem bestehenden Fernwärme- oder Fernkältenetz,</w:t>
      </w:r>
    </w:p>
    <w:p>
      <w:pPr>
        <w:ind w:left="420"/>
      </w:pPr>
      <w:r>
        <w:t xml:space="preserve">2. die Planfeststellung für ein neues Fernwärme- oder Fernkältenetz.</w:t>
      </w:r>
    </w:p>
    <w:p>
      <w:r>
        <w:rPr>
          <w:color w:val="555555"/>
          <w:sz w:val="17"/>
        </w:rPr>
        <w:t xml:space="preserve">Zitiervorschlag: § 1 KNV-V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https://recht.nulegal.eu/gesetze/KNV-V/1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