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KNGBbg (Brandenburg)</w:t>
      </w:r>
    </w:p>
    <w:p>
      <w:r>
        <w:rPr>
          <w:color w:val="555555"/>
          <w:sz w:val="18"/>
        </w:rPr>
        <w:t xml:space="preserve">Gesetz zur Neugliederung der Kreise und kreisfreien Städte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Aus den Kreisen Angermünde, Prenzlau und Templin,</w:t>
      </w:r>
    </w:p>
    <w:p>
      <w:r>
        <w:t xml:space="preserve">der bisher kreisfreien Stadt Schwedt und der Gemeinde Bölkendorf (Kreis</w:t>
      </w:r>
    </w:p>
    <w:p>
      <w:r>
        <w:t xml:space="preserve">Eberswalde)</w:t>
      </w:r>
    </w:p>
    <w:p>
      <w:r>
        <w:t xml:space="preserve">wird ein neuer Landkreis gebildet.</w:t>
      </w:r>
    </w:p>
    <w:p>
      <w:r>
        <w:rPr>
          <w:color w:val="555555"/>
          <w:sz w:val="17"/>
        </w:rPr>
        <w:t xml:space="preserve">Zitiervorschlag: § 5 KNGBbg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https://recht.nulegal.eu/gesetze/KNGBbg/5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