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Frühestens drei Monate, spätestens jedoch sechs Wochen vor der</w:t>
      </w:r>
    </w:p>
    <w:p>
      <w:r>
        <w:t xml:space="preserve">nächsten landesweiten Kreistagswahl wählen die Mitarbeiterinnen und</w:t>
      </w:r>
    </w:p>
    <w:p>
      <w:r>
        <w:t xml:space="preserve">Mitarbeiter derjenigen Kreisverwaltungen, aus deren Kreisen ein neuer Landkreis</w:t>
      </w:r>
    </w:p>
    <w:p>
      <w:r>
        <w:t xml:space="preserve">nach den §§ 1 bis 14 gebildet wird, den Personalrat des</w:t>
      </w:r>
    </w:p>
    <w:p>
      <w:r>
        <w:t xml:space="preserve">neuzubildenden Landkreises. Dieser Personalrat tritt am Tage der nächsten</w:t>
      </w:r>
    </w:p>
    <w:p>
      <w:r>
        <w:t xml:space="preserve">landesweiten Kreistagswahl an die Stelle der bisherigen Personalräte der</w:t>
      </w:r>
    </w:p>
    <w:p>
      <w:r>
        <w:t xml:space="preserve">Kreisverwaltungen. Die bisherigen Personalräte bestellen den Wahlvorstand</w:t>
      </w:r>
    </w:p>
    <w:p>
      <w:r>
        <w:t xml:space="preserve">gemeinsam. Die Bestimmungen des geltenden Personalvertretungsrechts bleiben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23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