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jeden neuen Landkreis werden binnen eines Monats nach</w:t>
      </w:r>
    </w:p>
    <w:p>
      <w:r>
        <w:t xml:space="preserve">Inkrafttreten dieses Gesetzes Arbeitsgruppen zum Aufbau der Verwaltung</w:t>
      </w:r>
    </w:p>
    <w:p>
      <w:r>
        <w:t xml:space="preserve">gebildet, denen die Landräte der Kreise angehören, aus denen der</w:t>
      </w:r>
    </w:p>
    <w:p>
      <w:r>
        <w:t xml:space="preserve">jeweils neue Landkreis gebildet wird. Die Kreistage dieser Kreise bestellen je</w:t>
      </w:r>
    </w:p>
    <w:p>
      <w:r>
        <w:t xml:space="preserve">zwei weitere Mitglieder der Arbeitsgruppe. Für die Landkreise nach den</w:t>
      </w:r>
    </w:p>
    <w:p>
      <w:r>
        <w:t xml:space="preserve">§§ 5 und 13 gehören den Arbeitsgruppen jeweils die</w:t>
      </w:r>
    </w:p>
    <w:p>
      <w:r>
        <w:t xml:space="preserve">Oberbürgermeister der einzukreisenden Städte sowie je zwei von der</w:t>
      </w:r>
    </w:p>
    <w:p>
      <w:r>
        <w:t xml:space="preserve">jeweiligen Stadtverordnetenversammlung zu bestellende Mitglieder</w:t>
      </w:r>
    </w:p>
    <w:p>
      <w:r>
        <w:t xml:space="preserve">zusätzlich an. Die Personalratsvorsitzenden der Verwaltungen der</w:t>
      </w:r>
    </w:p>
    <w:p>
      <w:r>
        <w:t xml:space="preserve">beteiligten Kreise bzw. kreisfreien Städte sind Mitglieder der</w:t>
      </w:r>
    </w:p>
    <w:p>
      <w:r>
        <w:t xml:space="preserve">Arbeitsgruppe mit beratender Stimme. Soweit innerhalb der Frist nach Satz 1 die</w:t>
      </w:r>
    </w:p>
    <w:p>
      <w:r>
        <w:t xml:space="preserve">weiteren Mitglieder nicht benannt sind, werden sie vom Minister des Innern</w:t>
      </w:r>
    </w:p>
    <w:p>
      <w:r>
        <w:t xml:space="preserve">bestellt.</w:t>
      </w:r>
    </w:p>
    <w:p>
      <w:r>
        <w:t xml:space="preserve">(2) Bis zur Konstituierung der neuzuwählenden Kreistage nehmen die</w:t>
      </w:r>
    </w:p>
    <w:p>
      <w:r>
        <w:t xml:space="preserve">Kreistage und Stadtverordnetenversammlungen unter Berücksichtigung der in</w:t>
      </w:r>
    </w:p>
    <w:p>
      <w:r>
        <w:t xml:space="preserve">§ 25 geregelten Einschränkungen die in der Kommunalverfassung</w:t>
      </w:r>
    </w:p>
    <w:p>
      <w:r>
        <w:t xml:space="preserve">fixierte Kompetenz wahr.</w:t>
      </w:r>
    </w:p>
    <w:p>
      <w:r>
        <w:t xml:space="preserve">(3) Bis zum Dienstantritt des neuzuwählenden Landrats führen die</w:t>
      </w:r>
    </w:p>
    <w:p>
      <w:r>
        <w:t xml:space="preserve">bisherigen Landräte und Oberbürgermeister bzw. ihre Vertreter auch</w:t>
      </w:r>
    </w:p>
    <w:p>
      <w:r>
        <w:t xml:space="preserve">nach Ablauf ihrer Wahlzeit die Geschäfte jeweils im Gebiet der</w:t>
      </w:r>
    </w:p>
    <w:p>
      <w:r>
        <w:t xml:space="preserve">aufgelösten Kreise bzw. der eingekreisten Städte fort.</w:t>
      </w:r>
    </w:p>
    <w:p>
      <w:r>
        <w:rPr>
          <w:color w:val="555555"/>
          <w:sz w:val="17"/>
        </w:rPr>
        <w:t xml:space="preserve">Zitiervorschlag: § 21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