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für Rechte oder Pflichten die Dauer des Wohnens im Gebiet eines</w:t>
      </w:r>
    </w:p>
    <w:p>
      <w:r>
        <w:t xml:space="preserve">Kreises maßgebend ist, gilt das ununterbrochene Wohnen im</w:t>
      </w:r>
    </w:p>
    <w:p>
      <w:r>
        <w:t xml:space="preserve">aufgelösten Kreis als solches in dem Landkreis, dem die Wohnsitzgemeinde</w:t>
      </w:r>
    </w:p>
    <w:p>
      <w:r>
        <w:t xml:space="preserve">zugeordnet wird.</w:t>
      </w:r>
    </w:p>
    <w:p>
      <w:r>
        <w:rPr>
          <w:color w:val="555555"/>
          <w:sz w:val="17"/>
        </w:rPr>
        <w:t xml:space="preserve">Zitiervorschlag: § 20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