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KNGBbg (Brandenburg)</w:t>
      </w:r>
    </w:p>
    <w:p>
      <w:r>
        <w:rPr>
          <w:color w:val="555555"/>
          <w:sz w:val="18"/>
        </w:rPr>
        <w:t xml:space="preserve">Gesetz zur Neugliederung der Kreise und kreisfreien Städte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Aus dem Kreis Kyritz</w:t>
      </w:r>
    </w:p>
    <w:p>
      <w:r>
        <w:t xml:space="preserve">ohne die Gemeinden des Amtes Gumtow,</w:t>
      </w:r>
    </w:p>
    <w:p>
      <w:r>
        <w:t xml:space="preserve">dem Kreis Neuruppin und dem Kreis Wittstock</w:t>
      </w:r>
    </w:p>
    <w:p>
      <w:r>
        <w:t xml:space="preserve">sowie den Gemeinden Blumenthal, Grabow, Rosenwinkel (Kreis Pritzwalk) und</w:t>
      </w:r>
    </w:p>
    <w:p>
      <w:r>
        <w:t xml:space="preserve">Keller (Kreis Gransee) wird ein neuer Landkreis gebildet.</w:t>
      </w:r>
    </w:p>
    <w:p>
      <w:r>
        <w:rPr>
          <w:color w:val="555555"/>
          <w:sz w:val="17"/>
        </w:rPr>
        <w:t xml:space="preserve">Zitiervorschlag: § 2 KNGBbg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https://recht.nulegal.eu/gesetze/KNGBbg/2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