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KNGBbg (Brandenburg)</w:t>
      </w:r>
    </w:p>
    <w:p>
      <w:r>
        <w:rPr>
          <w:color w:val="555555"/>
          <w:sz w:val="18"/>
        </w:rPr>
        <w:t xml:space="preserve">Gesetz zur Neugliederung der Kreise und kreisfreien Städte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Sofern den nach den §§ 5 und 13 neuzubildenden Landkreisen</w:t>
      </w:r>
    </w:p>
    <w:p>
      <w:r>
        <w:t xml:space="preserve">künftig solche Aufgaben übertragen werden, die bislang von den</w:t>
      </w:r>
    </w:p>
    <w:p>
      <w:r>
        <w:t xml:space="preserve">kreisfreien Städten Eisenhüttenstadt und Schwedt wahrgenommen wurden,</w:t>
      </w:r>
    </w:p>
    <w:p>
      <w:r>
        <w:t xml:space="preserve">findet auf die betroffenen Beschäftigten der kreisfreien Städte</w:t>
      </w:r>
    </w:p>
    <w:p>
      <w:r>
        <w:t xml:space="preserve">§ 128 des Beamtenrechtsrahmengesetzes entsprechend Anwendung.</w:t>
      </w:r>
    </w:p>
    <w:p>
      <w:r>
        <w:t xml:space="preserve">(2) Die Landräte und hauptamtlichen Beigeordneten der bisherigen Kreise</w:t>
      </w:r>
    </w:p>
    <w:p>
      <w:r>
        <w:t xml:space="preserve">treten mit der Bildung des neuen Landkreises in den Dienst des neuen</w:t>
      </w:r>
    </w:p>
    <w:p>
      <w:r>
        <w:t xml:space="preserve">Landkreises. Ihre Amtszeit endet spätestens mit dem 5. Mai 1994. Die</w:t>
      </w:r>
    </w:p>
    <w:p>
      <w:r>
        <w:t xml:space="preserve">bisherigen Landräte sind mit dem Tag des Dienstantritts des neuen Landrats</w:t>
      </w:r>
    </w:p>
    <w:p>
      <w:r>
        <w:t xml:space="preserve">abberufen (§ 21 Abs. 3). Der am 5. Dezember 1993 gewählte Kreistag</w:t>
      </w:r>
    </w:p>
    <w:p>
      <w:r>
        <w:t xml:space="preserve">kann bis zum 5. Mai 1994 die bisherigen Beigeordneten jederzeit mit einer</w:t>
      </w:r>
    </w:p>
    <w:p>
      <w:r>
        <w:t xml:space="preserve">Mehrheit seiner gewählten Mitglieder ohne vorherige Aussprache abberufen.</w:t>
      </w:r>
    </w:p>
    <w:p>
      <w:r>
        <w:t xml:space="preserve">Bezüglich der versorgungsrechtlichen Regelungen sind angestellte</w:t>
      </w:r>
    </w:p>
    <w:p>
      <w:r>
        <w:t xml:space="preserve">Landräte und hauptamtlich angestellte Beigeordnete den beamteten</w:t>
      </w:r>
    </w:p>
    <w:p>
      <w:r>
        <w:t xml:space="preserve">Landräten und hauptamtlichen Beigeordneten im Beamtenverhältnis auf</w:t>
      </w:r>
    </w:p>
    <w:p>
      <w:r>
        <w:t xml:space="preserve">Zeit gleichzustellen.</w:t>
      </w:r>
    </w:p>
    <w:p>
      <w:r>
        <w:t xml:space="preserve">(3) Soweit den Landkreisen infolge der Regelungen des Absatzes 2 Satz 3 bis</w:t>
      </w:r>
    </w:p>
    <w:p>
      <w:r>
        <w:t xml:space="preserve">5 Mehrkosten entstehen, werden diese vom Land erstattet. Die Einzelheiten der</w:t>
      </w:r>
    </w:p>
    <w:p>
      <w:r>
        <w:t xml:space="preserve">Erstattung regelt das Ministerium des Innern im Benehmen mit dem Ministerium</w:t>
      </w:r>
    </w:p>
    <w:p>
      <w:r>
        <w:t xml:space="preserve">der Finanzen.</w:t>
      </w:r>
    </w:p>
    <w:p>
      <w:r>
        <w:rPr>
          <w:color w:val="555555"/>
          <w:sz w:val="17"/>
        </w:rPr>
        <w:t xml:space="preserve">Zitiervorschlag: § 18 KNGBbg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https://recht.nulegal.eu/gesetze/KNGBbg/18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