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nach den §§ 1 bis 14 neuzubildenden Landkreise entstehen mit</w:t>
      </w:r>
    </w:p>
    <w:p>
      <w:r>
        <w:t xml:space="preserve">Ablauf des Tages der nächsten landesweiten Kreistagswahl. Mit Ablauf des</w:t>
      </w:r>
    </w:p>
    <w:p>
      <w:r>
        <w:t xml:space="preserve">gleichen Tages werden die bisherigen Kreise aufgelöst und wird die</w:t>
      </w:r>
    </w:p>
    <w:p>
      <w:r>
        <w:t xml:space="preserve">Kreisfreiheit der Städte Schwedt und Eisenhüttenstadt aufgehoben.</w:t>
      </w:r>
    </w:p>
    <w:p>
      <w:r>
        <w:rPr>
          <w:color w:val="555555"/>
          <w:sz w:val="17"/>
        </w:rPr>
        <w:t xml:space="preserve">Zitiervorschlag: § 16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