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KNGBbg (Brandenburg)</w:t>
      </w:r>
    </w:p>
    <w:p>
      <w:r>
        <w:rPr>
          <w:color w:val="555555"/>
          <w:sz w:val="18"/>
        </w:rPr>
        <w:t xml:space="preserve">Gesetz zur Neugliederung der Kreise und kreisfreien Städte im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Aus dem Kreis Bad Liebenwerda, dem Kreis Finsterwalde und</w:t>
      </w:r>
    </w:p>
    <w:p>
      <w:r>
        <w:t xml:space="preserve">dem Kreis Herzberg</w:t>
      </w:r>
    </w:p>
    <w:p>
      <w:r>
        <w:t xml:space="preserve">ohne die Gemeinde Schöna-Kolpien des Amtes Dahme,</w:t>
      </w:r>
    </w:p>
    <w:p>
      <w:r>
        <w:t xml:space="preserve">wird ein neuer Landkreis gebildet.</w:t>
      </w:r>
    </w:p>
    <w:p>
      <w:r>
        <w:rPr>
          <w:color w:val="555555"/>
          <w:sz w:val="17"/>
        </w:rPr>
        <w:t xml:space="preserve">Zitiervorschlag: § 10 KNGBbg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https://recht.nulegal.eu/gesetze/KNGBbg/10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