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KMZÜV — Antragsfristen</w:t>
      </w:r>
    </w:p>
    <w:p>
      <w:r>
        <w:rPr>
          <w:color w:val="555555"/>
          <w:sz w:val="18"/>
        </w:rPr>
        <w:t xml:space="preserve">Kryptomärktezulassungsüberführungs-Verordnung</w:t>
      </w:r>
    </w:p>
    <w:p>
      <w:r>
        <w:rPr>
          <w:color w:val="555555"/>
          <w:sz w:val="18"/>
        </w:rPr>
        <w:t xml:space="preserve">Historische Fassung: Stand 13.04.2025 bis 01.01.2026. Dies ist nicht die aktuelle Fassung.</w:t>
      </w:r>
    </w:p>
    <w:p>
      <w:r>
        <w:t xml:space="preserve">Anträge auf Durchführung des vereinfachten Verfahrens können bis zum 31. August 2025 gestellt werden. Entscheidend ist der Eingang aller Unterlagen nach § 3 Absatz 2 bei der Bundesanstalt.</w:t>
      </w:r>
    </w:p>
    <w:p>
      <w:r>
        <w:rPr>
          <w:color w:val="555555"/>
          <w:sz w:val="17"/>
        </w:rPr>
        <w:t xml:space="preserve">Zitiervorschlag: § 4 KMZÜV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https://recht.nulegal.eu/gesetze/KMZ%C3%9CV/4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