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KMZÜV — Antragsgegenstand, Antragsberechtigung</w:t>
      </w:r>
    </w:p>
    <w:p>
      <w:r>
        <w:rPr>
          <w:color w:val="555555"/>
          <w:sz w:val="18"/>
        </w:rPr>
        <w:t xml:space="preserve">Kryptomärktezulassungsüberführungs-Verordnung</w:t>
      </w:r>
    </w:p>
    <w:p>
      <w:r>
        <w:rPr>
          <w:color w:val="555555"/>
          <w:sz w:val="18"/>
        </w:rPr>
        <w:t xml:space="preserve">Historische Fassung: Stand 13.04.2025 bis 01.01.2026. Dies ist nicht die aktuelle Fassung.</w:t>
      </w:r>
    </w:p>
    <w:p>
      <w:r>
        <w:t xml:space="preserve">(1) Gegenstand des vereinfachten Verfahrens ist die Zulassung zur Erbringung bestimmter Kryptowerte-Dienstleistungen nach Artikel 59 Absatz 1 Buchstabe a der Verordnung (EU) 2023/1114 in Verbindung mit Artikel 143 Absatz 6 der Verordnung (EU) 2023/1114 und § 50 Absatz 3 des Kryptomärkteaufsichtsgesetzes.</w:t>
      </w:r>
    </w:p>
    <w:p>
      <w:r>
        <w:t xml:space="preserve">(2) Antragsberechtigt sind Unternehmen nach § 50 Absatz 1 Nummer 1 und Nummer 2 des Kryptomärkteaufsichtsgesetzes, soweit diese nicht unter Artikel 60 der Verordnung (EU) 2023/1114 fallen. Die Antragsberechtigung erstreckt sich ausschließlich auf diejenigen der in Artikel 3 Absatz 1 Nummer 16 der Verordnung (EU) 2023/1114 genannten Kryptowerte-Dienstleistungen, die von der bestehenden Erlaubnis umfasst sind.</w:t>
      </w:r>
    </w:p>
    <w:p>
      <w:r>
        <w:rPr>
          <w:color w:val="555555"/>
          <w:sz w:val="17"/>
        </w:rPr>
        <w:t xml:space="preserve">Zitiervorschlag: § 2 KMZÜV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https://recht.nulegal.eu/gesetze/KMZ%C3%9CV/2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